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6664" w14:textId="4244779A" w:rsidR="008D6A62" w:rsidRPr="00A676BD" w:rsidRDefault="008D6A62" w:rsidP="008D6A62">
      <w:pPr>
        <w:ind w:left="-1170"/>
        <w:rPr>
          <w:rFonts w:ascii="Arial" w:hAnsi="Arial" w:cs="Arial"/>
          <w:szCs w:val="24"/>
        </w:rPr>
      </w:pPr>
    </w:p>
    <w:tbl>
      <w:tblPr>
        <w:tblStyle w:val="TableGrid"/>
        <w:tblW w:w="10075" w:type="dxa"/>
        <w:tblInd w:w="-1170" w:type="dxa"/>
        <w:shd w:val="clear" w:color="auto" w:fill="33CCCC"/>
        <w:tblLook w:val="04A0" w:firstRow="1" w:lastRow="0" w:firstColumn="1" w:lastColumn="0" w:noHBand="0" w:noVBand="1"/>
      </w:tblPr>
      <w:tblGrid>
        <w:gridCol w:w="10075"/>
      </w:tblGrid>
      <w:tr w:rsidR="008D6A62" w:rsidRPr="00A676BD" w14:paraId="358B0BEA" w14:textId="77777777" w:rsidTr="00EB3284">
        <w:trPr>
          <w:trHeight w:val="476"/>
        </w:trPr>
        <w:tc>
          <w:tcPr>
            <w:tcW w:w="10075" w:type="dxa"/>
            <w:tcBorders>
              <w:top w:val="single" w:sz="4" w:space="0" w:color="33CCCC"/>
              <w:left w:val="single" w:sz="4" w:space="0" w:color="33CCCC"/>
              <w:bottom w:val="single" w:sz="4" w:space="0" w:color="33CCCC"/>
              <w:right w:val="single" w:sz="4" w:space="0" w:color="33CCCC"/>
            </w:tcBorders>
            <w:shd w:val="clear" w:color="auto" w:fill="33CCCC"/>
            <w:vAlign w:val="center"/>
          </w:tcPr>
          <w:p w14:paraId="3F90EAC3" w14:textId="0754C7F3" w:rsidR="008D6A62" w:rsidRPr="00A676BD" w:rsidRDefault="00C41C5B" w:rsidP="00EB3284">
            <w:pPr>
              <w:spacing w:before="0" w:after="0" w:line="240" w:lineRule="auto"/>
              <w:jc w:val="center"/>
              <w:rPr>
                <w:rFonts w:ascii="Arial" w:hAnsi="Arial" w:cs="Arial"/>
                <w:b/>
                <w:sz w:val="32"/>
                <w:szCs w:val="24"/>
              </w:rPr>
            </w:pPr>
            <w:r w:rsidRPr="00EB3284">
              <w:rPr>
                <w:rFonts w:ascii="Arial" w:hAnsi="Arial" w:cs="Arial"/>
                <w:b/>
                <w:color w:val="FFFFFF" w:themeColor="background1"/>
                <w:sz w:val="28"/>
                <w:szCs w:val="24"/>
              </w:rPr>
              <w:t>THÔNG TIN HÒA GIẢI VIÊN</w:t>
            </w:r>
          </w:p>
        </w:tc>
      </w:tr>
    </w:tbl>
    <w:tbl>
      <w:tblPr>
        <w:tblStyle w:val="TableGrid1"/>
        <w:tblW w:w="10080" w:type="dxa"/>
        <w:tblInd w:w="-117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900"/>
        <w:gridCol w:w="6502"/>
        <w:gridCol w:w="2678"/>
      </w:tblGrid>
      <w:tr w:rsidR="00090238" w:rsidRPr="00E74783" w14:paraId="2453934B" w14:textId="77777777" w:rsidTr="00090238">
        <w:trPr>
          <w:trHeight w:val="624"/>
        </w:trPr>
        <w:tc>
          <w:tcPr>
            <w:tcW w:w="7402" w:type="dxa"/>
            <w:gridSpan w:val="2"/>
            <w:vAlign w:val="center"/>
          </w:tcPr>
          <w:p w14:paraId="0044FF98" w14:textId="3F33F5C9" w:rsidR="00090238" w:rsidRPr="008A6BE1" w:rsidRDefault="00835A9C" w:rsidP="00FC3E27">
            <w:pPr>
              <w:rPr>
                <w:rFonts w:ascii="UTM Bebas" w:hAnsi="UTM Bebas" w:cs="Arial"/>
                <w:szCs w:val="24"/>
              </w:rPr>
            </w:pPr>
            <w:r w:rsidRPr="00835A9C">
              <w:rPr>
                <w:rFonts w:ascii="UTM Bebas" w:hAnsi="UTM Bebas" w:cs="Arial"/>
                <w:color w:val="1F4E79" w:themeColor="accent1" w:themeShade="80"/>
                <w:sz w:val="36"/>
                <w:szCs w:val="24"/>
              </w:rPr>
              <w:t>CHÂU VIỆT BẮC</w:t>
            </w:r>
          </w:p>
        </w:tc>
        <w:tc>
          <w:tcPr>
            <w:tcW w:w="2678" w:type="dxa"/>
            <w:vMerge w:val="restart"/>
            <w:vAlign w:val="center"/>
          </w:tcPr>
          <w:p w14:paraId="720E294E" w14:textId="26ADC5EA" w:rsidR="00090238" w:rsidRPr="00E74783" w:rsidRDefault="00835A9C" w:rsidP="00FC3E27">
            <w:pPr>
              <w:jc w:val="center"/>
              <w:rPr>
                <w:rFonts w:ascii="Arial" w:hAnsi="Arial" w:cs="Arial"/>
                <w:szCs w:val="24"/>
              </w:rPr>
            </w:pPr>
            <w:r w:rsidRPr="00EC084B">
              <w:rPr>
                <w:rFonts w:cs="Times New Roman"/>
                <w:noProof/>
                <w:szCs w:val="20"/>
              </w:rPr>
              <w:drawing>
                <wp:inline distT="0" distB="0" distL="0" distR="0" wp14:anchorId="738E7BD8" wp14:editId="3C320581">
                  <wp:extent cx="1409700" cy="2105025"/>
                  <wp:effectExtent l="0" t="0" r="0" b="9525"/>
                  <wp:docPr id="1" name="Picture 1" descr="C:\Users\Administrator\Dropbox\02. TỔ CHỨC QUỐC TẾ\KCAB\Chương trình\Speakers\SS1_Sp_Chau Viet Bac\6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02. TỔ CHỨC QUỐC TẾ\KCAB\Chương trình\Speakers\SS1_Sp_Chau Viet Bac\6x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2105025"/>
                          </a:xfrm>
                          <a:prstGeom prst="rect">
                            <a:avLst/>
                          </a:prstGeom>
                          <a:noFill/>
                          <a:ln>
                            <a:noFill/>
                          </a:ln>
                        </pic:spPr>
                      </pic:pic>
                    </a:graphicData>
                  </a:graphic>
                </wp:inline>
              </w:drawing>
            </w:r>
          </w:p>
        </w:tc>
      </w:tr>
      <w:tr w:rsidR="00090238" w:rsidRPr="00090238" w14:paraId="047071BA" w14:textId="77777777" w:rsidTr="00090238">
        <w:trPr>
          <w:trHeight w:val="779"/>
        </w:trPr>
        <w:tc>
          <w:tcPr>
            <w:tcW w:w="900" w:type="dxa"/>
            <w:vAlign w:val="center"/>
          </w:tcPr>
          <w:p w14:paraId="11A144CA" w14:textId="77777777" w:rsidR="00090238" w:rsidRPr="00090238" w:rsidRDefault="00090238" w:rsidP="00FC3E27">
            <w:pPr>
              <w:jc w:val="center"/>
              <w:rPr>
                <w:rFonts w:ascii="Arial" w:hAnsi="Arial" w:cs="Arial"/>
                <w:sz w:val="22"/>
              </w:rPr>
            </w:pPr>
            <w:r w:rsidRPr="00090238">
              <w:rPr>
                <w:rFonts w:ascii="Arial" w:hAnsi="Arial" w:cs="Arial"/>
                <w:noProof/>
                <w:sz w:val="22"/>
              </w:rPr>
              <w:drawing>
                <wp:inline distT="0" distB="0" distL="0" distR="0" wp14:anchorId="6076DE04" wp14:editId="4B3022A8">
                  <wp:extent cx="179514" cy="179514"/>
                  <wp:effectExtent l="0" t="0" r="0" b="0"/>
                  <wp:docPr id="17" name="Picture 17" descr="E:\VIAC\THÁNG 10\WEB VIAC\CV\icons8-briefcas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AC\THÁNG 10\WEB VIAC\CV\icons8-briefcase-1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50" cy="177450"/>
                          </a:xfrm>
                          <a:prstGeom prst="rect">
                            <a:avLst/>
                          </a:prstGeom>
                          <a:noFill/>
                          <a:ln>
                            <a:noFill/>
                          </a:ln>
                        </pic:spPr>
                      </pic:pic>
                    </a:graphicData>
                  </a:graphic>
                </wp:inline>
              </w:drawing>
            </w:r>
          </w:p>
        </w:tc>
        <w:tc>
          <w:tcPr>
            <w:tcW w:w="6502" w:type="dxa"/>
            <w:vAlign w:val="center"/>
          </w:tcPr>
          <w:p w14:paraId="7DBFA1D7" w14:textId="54ED9DC9" w:rsidR="00090238" w:rsidRPr="00090238" w:rsidRDefault="00835A9C" w:rsidP="00FC3E27">
            <w:pPr>
              <w:rPr>
                <w:rFonts w:ascii="Arial" w:hAnsi="Arial" w:cs="Arial"/>
                <w:sz w:val="22"/>
              </w:rPr>
            </w:pPr>
            <w:proofErr w:type="spellStart"/>
            <w:r w:rsidRPr="00835A9C">
              <w:rPr>
                <w:rFonts w:ascii="Arial" w:hAnsi="Arial" w:cs="Arial"/>
                <w:sz w:val="22"/>
              </w:rPr>
              <w:t>Phó</w:t>
            </w:r>
            <w:proofErr w:type="spellEnd"/>
            <w:r w:rsidRPr="00835A9C">
              <w:rPr>
                <w:rFonts w:ascii="Arial" w:hAnsi="Arial" w:cs="Arial"/>
                <w:sz w:val="22"/>
              </w:rPr>
              <w:t xml:space="preserve"> </w:t>
            </w:r>
            <w:proofErr w:type="spellStart"/>
            <w:r w:rsidRPr="00835A9C">
              <w:rPr>
                <w:rFonts w:ascii="Arial" w:hAnsi="Arial" w:cs="Arial"/>
                <w:sz w:val="22"/>
              </w:rPr>
              <w:t>Tổng</w:t>
            </w:r>
            <w:proofErr w:type="spellEnd"/>
            <w:r w:rsidRPr="00835A9C">
              <w:rPr>
                <w:rFonts w:ascii="Arial" w:hAnsi="Arial" w:cs="Arial"/>
                <w:sz w:val="22"/>
              </w:rPr>
              <w:t xml:space="preserve"> </w:t>
            </w:r>
            <w:proofErr w:type="spellStart"/>
            <w:r w:rsidRPr="00835A9C">
              <w:rPr>
                <w:rFonts w:ascii="Arial" w:hAnsi="Arial" w:cs="Arial"/>
                <w:sz w:val="22"/>
              </w:rPr>
              <w:t>thư</w:t>
            </w:r>
            <w:proofErr w:type="spellEnd"/>
            <w:r w:rsidRPr="00835A9C">
              <w:rPr>
                <w:rFonts w:ascii="Arial" w:hAnsi="Arial" w:cs="Arial"/>
                <w:sz w:val="22"/>
              </w:rPr>
              <w:t xml:space="preserve"> </w:t>
            </w:r>
            <w:proofErr w:type="spellStart"/>
            <w:r w:rsidRPr="00835A9C">
              <w:rPr>
                <w:rFonts w:ascii="Arial" w:hAnsi="Arial" w:cs="Arial"/>
                <w:sz w:val="22"/>
              </w:rPr>
              <w:t>ký</w:t>
            </w:r>
            <w:proofErr w:type="spellEnd"/>
            <w:r w:rsidRPr="00835A9C">
              <w:rPr>
                <w:rFonts w:ascii="Arial" w:hAnsi="Arial" w:cs="Arial"/>
                <w:sz w:val="22"/>
              </w:rPr>
              <w:t xml:space="preserve"> VIAC </w:t>
            </w:r>
            <w:proofErr w:type="spellStart"/>
            <w:r w:rsidRPr="00835A9C">
              <w:rPr>
                <w:rFonts w:ascii="Arial" w:hAnsi="Arial" w:cs="Arial"/>
                <w:sz w:val="22"/>
              </w:rPr>
              <w:t>kiêm</w:t>
            </w:r>
            <w:proofErr w:type="spellEnd"/>
            <w:r w:rsidRPr="00835A9C">
              <w:rPr>
                <w:rFonts w:ascii="Arial" w:hAnsi="Arial" w:cs="Arial"/>
                <w:sz w:val="22"/>
              </w:rPr>
              <w:t xml:space="preserve"> </w:t>
            </w:r>
            <w:proofErr w:type="spellStart"/>
            <w:r w:rsidRPr="00835A9C">
              <w:rPr>
                <w:rFonts w:ascii="Arial" w:hAnsi="Arial" w:cs="Arial"/>
                <w:sz w:val="22"/>
              </w:rPr>
              <w:t>Phó</w:t>
            </w:r>
            <w:proofErr w:type="spellEnd"/>
            <w:r w:rsidRPr="00835A9C">
              <w:rPr>
                <w:rFonts w:ascii="Arial" w:hAnsi="Arial" w:cs="Arial"/>
                <w:sz w:val="22"/>
              </w:rPr>
              <w:t xml:space="preserve"> </w:t>
            </w:r>
            <w:proofErr w:type="spellStart"/>
            <w:r w:rsidRPr="00835A9C">
              <w:rPr>
                <w:rFonts w:ascii="Arial" w:hAnsi="Arial" w:cs="Arial"/>
                <w:sz w:val="22"/>
              </w:rPr>
              <w:t>Giám</w:t>
            </w:r>
            <w:proofErr w:type="spellEnd"/>
            <w:r w:rsidRPr="00835A9C">
              <w:rPr>
                <w:rFonts w:ascii="Arial" w:hAnsi="Arial" w:cs="Arial"/>
                <w:sz w:val="22"/>
              </w:rPr>
              <w:t xml:space="preserve"> </w:t>
            </w:r>
            <w:proofErr w:type="spellStart"/>
            <w:r w:rsidRPr="00835A9C">
              <w:rPr>
                <w:rFonts w:ascii="Arial" w:hAnsi="Arial" w:cs="Arial"/>
                <w:sz w:val="22"/>
              </w:rPr>
              <w:t>đốc</w:t>
            </w:r>
            <w:proofErr w:type="spellEnd"/>
            <w:r w:rsidRPr="00835A9C">
              <w:rPr>
                <w:rFonts w:ascii="Arial" w:hAnsi="Arial" w:cs="Arial"/>
                <w:sz w:val="22"/>
              </w:rPr>
              <w:t xml:space="preserve"> Chi </w:t>
            </w:r>
            <w:proofErr w:type="spellStart"/>
            <w:r w:rsidRPr="00835A9C">
              <w:rPr>
                <w:rFonts w:ascii="Arial" w:hAnsi="Arial" w:cs="Arial"/>
                <w:sz w:val="22"/>
              </w:rPr>
              <w:t>nhánh</w:t>
            </w:r>
            <w:proofErr w:type="spellEnd"/>
            <w:r w:rsidRPr="00835A9C">
              <w:rPr>
                <w:rFonts w:ascii="Arial" w:hAnsi="Arial" w:cs="Arial"/>
                <w:sz w:val="22"/>
              </w:rPr>
              <w:t xml:space="preserve"> VIAC </w:t>
            </w:r>
            <w:proofErr w:type="spellStart"/>
            <w:r w:rsidRPr="00835A9C">
              <w:rPr>
                <w:rFonts w:ascii="Arial" w:hAnsi="Arial" w:cs="Arial"/>
                <w:sz w:val="22"/>
              </w:rPr>
              <w:t>tại</w:t>
            </w:r>
            <w:proofErr w:type="spellEnd"/>
            <w:r w:rsidRPr="00835A9C">
              <w:rPr>
                <w:rFonts w:ascii="Arial" w:hAnsi="Arial" w:cs="Arial"/>
                <w:sz w:val="22"/>
              </w:rPr>
              <w:t xml:space="preserve"> TP. </w:t>
            </w:r>
            <w:proofErr w:type="spellStart"/>
            <w:r w:rsidRPr="00835A9C">
              <w:rPr>
                <w:rFonts w:ascii="Arial" w:hAnsi="Arial" w:cs="Arial"/>
                <w:sz w:val="22"/>
              </w:rPr>
              <w:t>Hồ</w:t>
            </w:r>
            <w:proofErr w:type="spellEnd"/>
            <w:r w:rsidRPr="00835A9C">
              <w:rPr>
                <w:rFonts w:ascii="Arial" w:hAnsi="Arial" w:cs="Arial"/>
                <w:sz w:val="22"/>
              </w:rPr>
              <w:t xml:space="preserve"> </w:t>
            </w:r>
            <w:proofErr w:type="spellStart"/>
            <w:r w:rsidRPr="00835A9C">
              <w:rPr>
                <w:rFonts w:ascii="Arial" w:hAnsi="Arial" w:cs="Arial"/>
                <w:sz w:val="22"/>
              </w:rPr>
              <w:t>Chí</w:t>
            </w:r>
            <w:proofErr w:type="spellEnd"/>
            <w:r w:rsidRPr="00835A9C">
              <w:rPr>
                <w:rFonts w:ascii="Arial" w:hAnsi="Arial" w:cs="Arial"/>
                <w:sz w:val="22"/>
              </w:rPr>
              <w:t xml:space="preserve"> Minh</w:t>
            </w:r>
          </w:p>
        </w:tc>
        <w:tc>
          <w:tcPr>
            <w:tcW w:w="2678" w:type="dxa"/>
            <w:vMerge/>
          </w:tcPr>
          <w:p w14:paraId="3BB0B083" w14:textId="77777777" w:rsidR="00090238" w:rsidRPr="00090238" w:rsidRDefault="00090238" w:rsidP="00FC3E27">
            <w:pPr>
              <w:rPr>
                <w:rFonts w:ascii="Arial" w:hAnsi="Arial" w:cs="Arial"/>
                <w:sz w:val="22"/>
              </w:rPr>
            </w:pPr>
          </w:p>
        </w:tc>
      </w:tr>
      <w:tr w:rsidR="00090238" w:rsidRPr="00090238" w14:paraId="1CDBF080" w14:textId="77777777" w:rsidTr="00090238">
        <w:trPr>
          <w:trHeight w:val="538"/>
        </w:trPr>
        <w:tc>
          <w:tcPr>
            <w:tcW w:w="900" w:type="dxa"/>
            <w:vAlign w:val="center"/>
          </w:tcPr>
          <w:p w14:paraId="68C7A1C4" w14:textId="77777777" w:rsidR="00090238" w:rsidRPr="00090238" w:rsidRDefault="00090238" w:rsidP="00FC3E27">
            <w:pPr>
              <w:jc w:val="center"/>
              <w:rPr>
                <w:rFonts w:ascii="Arial" w:hAnsi="Arial" w:cs="Arial"/>
                <w:sz w:val="22"/>
              </w:rPr>
            </w:pPr>
            <w:r w:rsidRPr="00090238">
              <w:rPr>
                <w:rFonts w:ascii="Arial" w:hAnsi="Arial" w:cs="Arial"/>
                <w:noProof/>
                <w:sz w:val="22"/>
              </w:rPr>
              <w:drawing>
                <wp:inline distT="0" distB="0" distL="0" distR="0" wp14:anchorId="10AE73C1" wp14:editId="0F9B7C19">
                  <wp:extent cx="151465" cy="151465"/>
                  <wp:effectExtent l="0" t="0" r="1270" b="1270"/>
                  <wp:docPr id="25" name="Picture 25" descr="E:\VIAC\THÁNG 10\WEB VIAC\CV\icons8-open-envelop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IAC\THÁNG 10\WEB VIAC\CV\icons8-open-envelope-1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90" cy="150290"/>
                          </a:xfrm>
                          <a:prstGeom prst="rect">
                            <a:avLst/>
                          </a:prstGeom>
                          <a:noFill/>
                          <a:ln>
                            <a:noFill/>
                          </a:ln>
                        </pic:spPr>
                      </pic:pic>
                    </a:graphicData>
                  </a:graphic>
                </wp:inline>
              </w:drawing>
            </w:r>
          </w:p>
        </w:tc>
        <w:tc>
          <w:tcPr>
            <w:tcW w:w="6502" w:type="dxa"/>
            <w:vAlign w:val="center"/>
          </w:tcPr>
          <w:p w14:paraId="4D95DB0E" w14:textId="74D3F7C9" w:rsidR="00090238" w:rsidRPr="00090238" w:rsidRDefault="00090238" w:rsidP="00FC3E27">
            <w:pPr>
              <w:rPr>
                <w:rFonts w:ascii="Arial" w:hAnsi="Arial" w:cs="Arial"/>
                <w:sz w:val="22"/>
              </w:rPr>
            </w:pPr>
            <w:r w:rsidRPr="00090238">
              <w:rPr>
                <w:rFonts w:ascii="Arial" w:hAnsi="Arial" w:cs="Arial"/>
                <w:sz w:val="22"/>
              </w:rPr>
              <w:t xml:space="preserve">Email: </w:t>
            </w:r>
            <w:r w:rsidR="00835A9C" w:rsidRPr="00835A9C">
              <w:rPr>
                <w:rFonts w:ascii="Arial" w:hAnsi="Arial" w:cs="Arial"/>
                <w:sz w:val="22"/>
              </w:rPr>
              <w:t>bac.chau@viac.org.vn</w:t>
            </w:r>
          </w:p>
        </w:tc>
        <w:tc>
          <w:tcPr>
            <w:tcW w:w="2678" w:type="dxa"/>
            <w:vMerge/>
          </w:tcPr>
          <w:p w14:paraId="090195C9" w14:textId="77777777" w:rsidR="00090238" w:rsidRPr="00090238" w:rsidRDefault="00090238" w:rsidP="00FC3E27">
            <w:pPr>
              <w:rPr>
                <w:rFonts w:ascii="Arial" w:hAnsi="Arial" w:cs="Arial"/>
                <w:sz w:val="22"/>
              </w:rPr>
            </w:pPr>
          </w:p>
        </w:tc>
      </w:tr>
      <w:tr w:rsidR="00090238" w:rsidRPr="00090238" w14:paraId="3D1C8B9F" w14:textId="77777777" w:rsidTr="00090238">
        <w:trPr>
          <w:trHeight w:val="546"/>
        </w:trPr>
        <w:tc>
          <w:tcPr>
            <w:tcW w:w="900" w:type="dxa"/>
            <w:vAlign w:val="center"/>
          </w:tcPr>
          <w:p w14:paraId="3CA625FB" w14:textId="77777777" w:rsidR="00090238" w:rsidRPr="00090238" w:rsidRDefault="00090238" w:rsidP="00FC3E27">
            <w:pPr>
              <w:jc w:val="center"/>
              <w:rPr>
                <w:rFonts w:ascii="Arial" w:hAnsi="Arial" w:cs="Arial"/>
                <w:sz w:val="22"/>
              </w:rPr>
            </w:pPr>
            <w:r w:rsidRPr="00090238">
              <w:rPr>
                <w:rFonts w:ascii="Arial" w:hAnsi="Arial" w:cs="Arial"/>
                <w:noProof/>
                <w:sz w:val="22"/>
              </w:rPr>
              <w:drawing>
                <wp:inline distT="0" distB="0" distL="0" distR="0" wp14:anchorId="5AF47B69" wp14:editId="702F4B0D">
                  <wp:extent cx="173904" cy="173904"/>
                  <wp:effectExtent l="0" t="0" r="0" b="0"/>
                  <wp:docPr id="27" name="Picture 27" descr="E:\VIAC\THÁNG 10\WEB VIAC\CV\icons8-idea-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IAC\THÁNG 10\WEB VIAC\CV\icons8-idea-1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55" cy="172555"/>
                          </a:xfrm>
                          <a:prstGeom prst="rect">
                            <a:avLst/>
                          </a:prstGeom>
                          <a:noFill/>
                          <a:ln>
                            <a:noFill/>
                          </a:ln>
                        </pic:spPr>
                      </pic:pic>
                    </a:graphicData>
                  </a:graphic>
                </wp:inline>
              </w:drawing>
            </w:r>
          </w:p>
        </w:tc>
        <w:tc>
          <w:tcPr>
            <w:tcW w:w="6502" w:type="dxa"/>
            <w:vAlign w:val="center"/>
          </w:tcPr>
          <w:p w14:paraId="4D0BF2F6" w14:textId="37C44EE8" w:rsidR="00090238" w:rsidRPr="00090238" w:rsidRDefault="00835A9C" w:rsidP="00FC3E27">
            <w:pPr>
              <w:rPr>
                <w:rFonts w:ascii="Arial" w:hAnsi="Arial" w:cs="Arial"/>
                <w:sz w:val="22"/>
              </w:rPr>
            </w:pPr>
            <w:proofErr w:type="spellStart"/>
            <w:r w:rsidRPr="00835A9C">
              <w:rPr>
                <w:rFonts w:ascii="Arial" w:hAnsi="Arial" w:cs="Arial"/>
                <w:sz w:val="22"/>
              </w:rPr>
              <w:t>Luật</w:t>
            </w:r>
            <w:proofErr w:type="spellEnd"/>
            <w:r w:rsidRPr="00835A9C">
              <w:rPr>
                <w:rFonts w:ascii="Arial" w:hAnsi="Arial" w:cs="Arial"/>
                <w:sz w:val="22"/>
              </w:rPr>
              <w:t xml:space="preserve"> </w:t>
            </w:r>
            <w:proofErr w:type="spellStart"/>
            <w:r w:rsidRPr="00835A9C">
              <w:rPr>
                <w:rFonts w:ascii="Arial" w:hAnsi="Arial" w:cs="Arial"/>
                <w:sz w:val="22"/>
              </w:rPr>
              <w:t>thương</w:t>
            </w:r>
            <w:proofErr w:type="spellEnd"/>
            <w:r w:rsidRPr="00835A9C">
              <w:rPr>
                <w:rFonts w:ascii="Arial" w:hAnsi="Arial" w:cs="Arial"/>
                <w:sz w:val="22"/>
              </w:rPr>
              <w:t xml:space="preserve"> </w:t>
            </w:r>
            <w:proofErr w:type="spellStart"/>
            <w:r w:rsidRPr="00835A9C">
              <w:rPr>
                <w:rFonts w:ascii="Arial" w:hAnsi="Arial" w:cs="Arial"/>
                <w:sz w:val="22"/>
              </w:rPr>
              <w:t>mại</w:t>
            </w:r>
            <w:proofErr w:type="spellEnd"/>
            <w:r w:rsidRPr="00835A9C">
              <w:rPr>
                <w:rFonts w:ascii="Arial" w:hAnsi="Arial" w:cs="Arial"/>
                <w:sz w:val="22"/>
              </w:rPr>
              <w:t xml:space="preserve">, </w:t>
            </w:r>
            <w:proofErr w:type="spellStart"/>
            <w:r w:rsidRPr="00835A9C">
              <w:rPr>
                <w:rFonts w:ascii="Arial" w:hAnsi="Arial" w:cs="Arial"/>
                <w:sz w:val="22"/>
              </w:rPr>
              <w:t>Trọng</w:t>
            </w:r>
            <w:proofErr w:type="spellEnd"/>
            <w:r w:rsidRPr="00835A9C">
              <w:rPr>
                <w:rFonts w:ascii="Arial" w:hAnsi="Arial" w:cs="Arial"/>
                <w:sz w:val="22"/>
              </w:rPr>
              <w:t xml:space="preserve"> </w:t>
            </w:r>
            <w:proofErr w:type="spellStart"/>
            <w:r w:rsidRPr="00835A9C">
              <w:rPr>
                <w:rFonts w:ascii="Arial" w:hAnsi="Arial" w:cs="Arial"/>
                <w:sz w:val="22"/>
              </w:rPr>
              <w:t>tài</w:t>
            </w:r>
            <w:proofErr w:type="spellEnd"/>
            <w:r w:rsidRPr="00835A9C">
              <w:rPr>
                <w:rFonts w:ascii="Arial" w:hAnsi="Arial" w:cs="Arial"/>
                <w:sz w:val="22"/>
              </w:rPr>
              <w:t xml:space="preserve">, </w:t>
            </w:r>
            <w:proofErr w:type="spellStart"/>
            <w:r w:rsidRPr="00835A9C">
              <w:rPr>
                <w:rFonts w:ascii="Arial" w:hAnsi="Arial" w:cs="Arial"/>
                <w:sz w:val="22"/>
              </w:rPr>
              <w:t>Hòa</w:t>
            </w:r>
            <w:proofErr w:type="spellEnd"/>
            <w:r w:rsidRPr="00835A9C">
              <w:rPr>
                <w:rFonts w:ascii="Arial" w:hAnsi="Arial" w:cs="Arial"/>
                <w:sz w:val="22"/>
              </w:rPr>
              <w:t xml:space="preserve"> </w:t>
            </w:r>
            <w:proofErr w:type="spellStart"/>
            <w:r w:rsidRPr="00835A9C">
              <w:rPr>
                <w:rFonts w:ascii="Arial" w:hAnsi="Arial" w:cs="Arial"/>
                <w:sz w:val="22"/>
              </w:rPr>
              <w:t>giải</w:t>
            </w:r>
            <w:proofErr w:type="spellEnd"/>
          </w:p>
        </w:tc>
        <w:tc>
          <w:tcPr>
            <w:tcW w:w="2678" w:type="dxa"/>
            <w:vMerge/>
          </w:tcPr>
          <w:p w14:paraId="5E74ACF8" w14:textId="77777777" w:rsidR="00090238" w:rsidRPr="00090238" w:rsidRDefault="00090238" w:rsidP="00FC3E27">
            <w:pPr>
              <w:rPr>
                <w:rFonts w:ascii="Arial" w:hAnsi="Arial" w:cs="Arial"/>
                <w:sz w:val="22"/>
              </w:rPr>
            </w:pPr>
          </w:p>
        </w:tc>
      </w:tr>
      <w:tr w:rsidR="00090238" w:rsidRPr="00090238" w14:paraId="63752761" w14:textId="77777777" w:rsidTr="00090238">
        <w:trPr>
          <w:trHeight w:val="440"/>
        </w:trPr>
        <w:tc>
          <w:tcPr>
            <w:tcW w:w="900" w:type="dxa"/>
            <w:vAlign w:val="center"/>
          </w:tcPr>
          <w:p w14:paraId="0B253153" w14:textId="77777777" w:rsidR="00090238" w:rsidRPr="00090238" w:rsidRDefault="00090238" w:rsidP="00FC3E27">
            <w:pPr>
              <w:jc w:val="center"/>
              <w:rPr>
                <w:rFonts w:ascii="Arial" w:hAnsi="Arial" w:cs="Arial"/>
                <w:sz w:val="22"/>
              </w:rPr>
            </w:pPr>
            <w:r w:rsidRPr="00090238">
              <w:rPr>
                <w:rFonts w:ascii="Arial" w:hAnsi="Arial" w:cs="Arial"/>
                <w:noProof/>
                <w:sz w:val="22"/>
              </w:rPr>
              <w:drawing>
                <wp:inline distT="0" distB="0" distL="0" distR="0" wp14:anchorId="615F1EBE" wp14:editId="192B43F4">
                  <wp:extent cx="162685" cy="162685"/>
                  <wp:effectExtent l="0" t="0" r="8890" b="8890"/>
                  <wp:docPr id="28" name="Picture 28" descr="E:\VIAC\THÁNG 10\WEB VIAC\CV\icons8-subtitle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IAC\THÁNG 10\WEB VIAC\CV\icons8-subtitles-1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134" cy="164134"/>
                          </a:xfrm>
                          <a:prstGeom prst="rect">
                            <a:avLst/>
                          </a:prstGeom>
                          <a:noFill/>
                          <a:ln>
                            <a:noFill/>
                          </a:ln>
                        </pic:spPr>
                      </pic:pic>
                    </a:graphicData>
                  </a:graphic>
                </wp:inline>
              </w:drawing>
            </w:r>
          </w:p>
        </w:tc>
        <w:tc>
          <w:tcPr>
            <w:tcW w:w="6502" w:type="dxa"/>
            <w:vAlign w:val="center"/>
          </w:tcPr>
          <w:p w14:paraId="2CE1F979" w14:textId="77777777" w:rsidR="00090238" w:rsidRPr="00090238" w:rsidRDefault="00090238" w:rsidP="00FC3E27">
            <w:pPr>
              <w:rPr>
                <w:rFonts w:ascii="Arial" w:hAnsi="Arial" w:cs="Arial"/>
                <w:sz w:val="22"/>
              </w:rPr>
            </w:pPr>
            <w:proofErr w:type="spellStart"/>
            <w:r w:rsidRPr="00090238">
              <w:rPr>
                <w:rFonts w:ascii="Arial" w:hAnsi="Arial" w:cs="Arial"/>
                <w:sz w:val="22"/>
              </w:rPr>
              <w:t>Ngôn</w:t>
            </w:r>
            <w:proofErr w:type="spellEnd"/>
            <w:r w:rsidRPr="00090238">
              <w:rPr>
                <w:rFonts w:ascii="Arial" w:hAnsi="Arial" w:cs="Arial"/>
                <w:sz w:val="22"/>
              </w:rPr>
              <w:t xml:space="preserve"> </w:t>
            </w:r>
            <w:proofErr w:type="spellStart"/>
            <w:r w:rsidRPr="00090238">
              <w:rPr>
                <w:rFonts w:ascii="Arial" w:hAnsi="Arial" w:cs="Arial"/>
                <w:sz w:val="22"/>
              </w:rPr>
              <w:t>ngữ</w:t>
            </w:r>
            <w:proofErr w:type="spellEnd"/>
            <w:r w:rsidRPr="00090238">
              <w:rPr>
                <w:rFonts w:ascii="Arial" w:hAnsi="Arial" w:cs="Arial"/>
                <w:sz w:val="22"/>
              </w:rPr>
              <w:t xml:space="preserve">: </w:t>
            </w:r>
            <w:proofErr w:type="spellStart"/>
            <w:r w:rsidRPr="00090238">
              <w:rPr>
                <w:rFonts w:ascii="Arial" w:hAnsi="Arial" w:cs="Arial"/>
                <w:sz w:val="22"/>
              </w:rPr>
              <w:t>Tiếng</w:t>
            </w:r>
            <w:proofErr w:type="spellEnd"/>
            <w:r w:rsidRPr="00090238">
              <w:rPr>
                <w:rFonts w:ascii="Arial" w:hAnsi="Arial" w:cs="Arial"/>
                <w:sz w:val="22"/>
              </w:rPr>
              <w:t xml:space="preserve"> </w:t>
            </w:r>
            <w:proofErr w:type="spellStart"/>
            <w:r w:rsidRPr="00090238">
              <w:rPr>
                <w:rFonts w:ascii="Arial" w:hAnsi="Arial" w:cs="Arial"/>
                <w:sz w:val="22"/>
              </w:rPr>
              <w:t>Việt</w:t>
            </w:r>
            <w:proofErr w:type="spellEnd"/>
            <w:r w:rsidRPr="00090238">
              <w:rPr>
                <w:rFonts w:ascii="Arial" w:hAnsi="Arial" w:cs="Arial"/>
                <w:sz w:val="22"/>
              </w:rPr>
              <w:t xml:space="preserve">, </w:t>
            </w:r>
            <w:proofErr w:type="spellStart"/>
            <w:r w:rsidRPr="00090238">
              <w:rPr>
                <w:rFonts w:ascii="Arial" w:hAnsi="Arial" w:cs="Arial"/>
                <w:sz w:val="22"/>
              </w:rPr>
              <w:t>Tiếng</w:t>
            </w:r>
            <w:proofErr w:type="spellEnd"/>
            <w:r w:rsidRPr="00090238">
              <w:rPr>
                <w:rFonts w:ascii="Arial" w:hAnsi="Arial" w:cs="Arial"/>
                <w:sz w:val="22"/>
              </w:rPr>
              <w:t xml:space="preserve"> Anh</w:t>
            </w:r>
          </w:p>
        </w:tc>
        <w:tc>
          <w:tcPr>
            <w:tcW w:w="2678" w:type="dxa"/>
            <w:vMerge/>
          </w:tcPr>
          <w:p w14:paraId="742C52E6" w14:textId="77777777" w:rsidR="00090238" w:rsidRPr="00090238" w:rsidRDefault="00090238" w:rsidP="00FC3E27">
            <w:pPr>
              <w:rPr>
                <w:rFonts w:ascii="Arial" w:hAnsi="Arial" w:cs="Arial"/>
                <w:sz w:val="22"/>
              </w:rPr>
            </w:pPr>
          </w:p>
        </w:tc>
      </w:tr>
      <w:tr w:rsidR="00090238" w:rsidRPr="00090238" w14:paraId="6A606BB1" w14:textId="77777777" w:rsidTr="00090238">
        <w:trPr>
          <w:trHeight w:val="440"/>
        </w:trPr>
        <w:tc>
          <w:tcPr>
            <w:tcW w:w="10080" w:type="dxa"/>
            <w:gridSpan w:val="3"/>
            <w:vAlign w:val="center"/>
          </w:tcPr>
          <w:p w14:paraId="619483AB" w14:textId="77777777" w:rsidR="00835A9C" w:rsidRDefault="00835A9C" w:rsidP="00FC3E27">
            <w:pPr>
              <w:rPr>
                <w:rFonts w:ascii="Arial" w:hAnsi="Arial" w:cs="Arial"/>
                <w:b/>
                <w:sz w:val="22"/>
                <w:lang w:val="nl-NL"/>
              </w:rPr>
            </w:pPr>
            <w:r w:rsidRPr="00835A9C">
              <w:rPr>
                <w:rFonts w:ascii="Arial" w:hAnsi="Arial" w:cs="Arial"/>
                <w:b/>
                <w:sz w:val="22"/>
                <w:lang w:val="nl-NL"/>
              </w:rPr>
              <w:t>Trình độ học vấn</w:t>
            </w:r>
            <w:r>
              <w:rPr>
                <w:rFonts w:ascii="Arial" w:hAnsi="Arial" w:cs="Arial"/>
                <w:b/>
                <w:sz w:val="22"/>
                <w:lang w:val="nl-NL"/>
              </w:rPr>
              <w:t>:</w:t>
            </w:r>
          </w:p>
          <w:p w14:paraId="04718377" w14:textId="77777777"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 xml:space="preserve">Liên Đoàn Luật sư Hoa Kỳ, Chương trình huấn luyện về hòa giải (2015), </w:t>
            </w:r>
          </w:p>
          <w:p w14:paraId="11CD30B8" w14:textId="77777777"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Học viện Tư Pháp, Giấy chứng nhận hành nghề luật sư (2011),</w:t>
            </w:r>
          </w:p>
          <w:p w14:paraId="07BBFCE5" w14:textId="456C0E73"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Đại học Luật Thành phố Hồ Chí Minh, Thạc sỹ Luật (2006),</w:t>
            </w:r>
          </w:p>
          <w:p w14:paraId="24C4F070" w14:textId="77777777" w:rsidR="00835A9C" w:rsidRPr="00835A9C" w:rsidRDefault="00835A9C" w:rsidP="00835A9C">
            <w:pPr>
              <w:pStyle w:val="ListParagraph"/>
              <w:numPr>
                <w:ilvl w:val="0"/>
                <w:numId w:val="9"/>
              </w:numPr>
              <w:rPr>
                <w:rFonts w:ascii="Arial" w:hAnsi="Arial" w:cs="Arial"/>
                <w:b/>
                <w:lang w:val="nl-NL"/>
              </w:rPr>
            </w:pPr>
            <w:r w:rsidRPr="00835A9C">
              <w:rPr>
                <w:rFonts w:ascii="Arial" w:hAnsi="Arial" w:cs="Arial"/>
                <w:bCs/>
                <w:lang w:val="nl-NL"/>
              </w:rPr>
              <w:t>Đại học Luật Thành phố Hồ Chí Minh, Cử nhân Luật, chuyên ngành Luật Quốc tế (2003).</w:t>
            </w:r>
          </w:p>
          <w:p w14:paraId="1C9BC9C6" w14:textId="77777777" w:rsidR="00835A9C" w:rsidRDefault="00835A9C" w:rsidP="00835A9C">
            <w:pPr>
              <w:rPr>
                <w:rFonts w:ascii="Arial" w:hAnsi="Arial" w:cs="Arial"/>
                <w:b/>
                <w:sz w:val="22"/>
                <w:lang w:val="nl-NL"/>
              </w:rPr>
            </w:pPr>
            <w:r w:rsidRPr="00835A9C">
              <w:rPr>
                <w:rFonts w:ascii="Arial" w:hAnsi="Arial" w:cs="Arial"/>
                <w:b/>
                <w:sz w:val="22"/>
                <w:lang w:val="nl-NL"/>
              </w:rPr>
              <w:t>Kinh nghiệm làm việc</w:t>
            </w:r>
            <w:r>
              <w:rPr>
                <w:rFonts w:ascii="Arial" w:hAnsi="Arial" w:cs="Arial"/>
                <w:b/>
                <w:sz w:val="22"/>
                <w:lang w:val="nl-NL"/>
              </w:rPr>
              <w:t>:</w:t>
            </w:r>
          </w:p>
          <w:p w14:paraId="0A333CAB" w14:textId="77777777"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 xml:space="preserve">Trung tâm Trọng tài Quốc tế Việt Nam (2009). </w:t>
            </w:r>
          </w:p>
          <w:p w14:paraId="73F9F280" w14:textId="77777777"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Phòng Thương mại và Công nghiệp Việt Nam (Ban pháp chế) (2004).</w:t>
            </w:r>
          </w:p>
          <w:p w14:paraId="52F536D6" w14:textId="77777777" w:rsidR="00835A9C" w:rsidRPr="00835A9C" w:rsidRDefault="00835A9C" w:rsidP="00835A9C">
            <w:pPr>
              <w:rPr>
                <w:rFonts w:ascii="Arial" w:hAnsi="Arial" w:cs="Arial"/>
                <w:b/>
                <w:sz w:val="22"/>
                <w:szCs w:val="20"/>
                <w:lang w:val="nl-NL"/>
              </w:rPr>
            </w:pPr>
            <w:r w:rsidRPr="00835A9C">
              <w:rPr>
                <w:rFonts w:ascii="Arial" w:hAnsi="Arial" w:cs="Arial"/>
                <w:b/>
                <w:sz w:val="22"/>
                <w:szCs w:val="20"/>
                <w:lang w:val="nl-NL"/>
              </w:rPr>
              <w:t xml:space="preserve">Thành viên: </w:t>
            </w:r>
          </w:p>
          <w:p w14:paraId="01FEFD95" w14:textId="77777777"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 xml:space="preserve">Thành viên Đoàn Luật sư Thành phố Hồ Chí Minh, </w:t>
            </w:r>
          </w:p>
          <w:p w14:paraId="5C312A05" w14:textId="77777777"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Thành viên Hội đồng Khoa học Pháp lý VIAC</w:t>
            </w:r>
          </w:p>
          <w:p w14:paraId="0D180F6B" w14:textId="77777777" w:rsidR="00835A9C" w:rsidRPr="00835A9C" w:rsidRDefault="00835A9C" w:rsidP="00835A9C">
            <w:pPr>
              <w:rPr>
                <w:rFonts w:ascii="Arial" w:hAnsi="Arial" w:cs="Arial"/>
                <w:b/>
                <w:sz w:val="22"/>
                <w:szCs w:val="20"/>
                <w:lang w:val="nl-NL"/>
              </w:rPr>
            </w:pPr>
            <w:r w:rsidRPr="00835A9C">
              <w:rPr>
                <w:rFonts w:ascii="Arial" w:hAnsi="Arial" w:cs="Arial"/>
                <w:b/>
                <w:sz w:val="22"/>
                <w:szCs w:val="20"/>
                <w:lang w:val="nl-NL"/>
              </w:rPr>
              <w:t>Ấn phẩm:</w:t>
            </w:r>
          </w:p>
          <w:p w14:paraId="7E23204E" w14:textId="77777777"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Giải quyết tranh chấp các hợp đồng, những điều mà doanh nghiệp cần biết (2015).</w:t>
            </w:r>
          </w:p>
          <w:p w14:paraId="14A7C486" w14:textId="77777777"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Tuyển tập các phán quyết trọng tài quốc tế chọn lọc (2010).</w:t>
            </w:r>
          </w:p>
          <w:p w14:paraId="0DAC94CD" w14:textId="77777777" w:rsidR="00835A9C" w:rsidRPr="00835A9C" w:rsidRDefault="00835A9C" w:rsidP="00835A9C">
            <w:pPr>
              <w:rPr>
                <w:rFonts w:ascii="Arial" w:hAnsi="Arial" w:cs="Arial"/>
                <w:bCs/>
                <w:sz w:val="22"/>
                <w:lang w:val="nl-NL"/>
              </w:rPr>
            </w:pPr>
            <w:r w:rsidRPr="00835A9C">
              <w:rPr>
                <w:rFonts w:ascii="Arial" w:hAnsi="Arial" w:cs="Arial"/>
                <w:b/>
                <w:sz w:val="22"/>
                <w:szCs w:val="20"/>
                <w:lang w:val="nl-NL"/>
              </w:rPr>
              <w:t>Diễn giả:</w:t>
            </w:r>
            <w:r>
              <w:rPr>
                <w:rFonts w:ascii="Arial" w:hAnsi="Arial" w:cs="Arial"/>
                <w:b/>
                <w:lang w:val="nl-NL"/>
              </w:rPr>
              <w:t xml:space="preserve"> </w:t>
            </w:r>
            <w:r w:rsidRPr="00835A9C">
              <w:rPr>
                <w:rFonts w:ascii="Arial" w:hAnsi="Arial" w:cs="Arial"/>
                <w:bCs/>
                <w:sz w:val="22"/>
                <w:lang w:val="nl-NL"/>
              </w:rPr>
              <w:t>Tham gia làm diễn giả nhiều hội thảo, tọa đàm, tập huấn được tổ chức bởi các cơ quan tổ chức trong và ngoài nước như. Một số hoạt động diễn giả trong năm 2016 như:</w:t>
            </w:r>
          </w:p>
          <w:p w14:paraId="01283627" w14:textId="6A6F23E5"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“Câu chuyện hành nghề luật năm 2015-2016 số 04” và “Moot Court Competition 2016” được tổ chức bởi Đại học Luật TP. Hồ Chí Minh;</w:t>
            </w:r>
          </w:p>
          <w:p w14:paraId="11A2DB53" w14:textId="24D14543"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“Hội nghị về các quy định mới về trọng tài và hòa giải của Bộ luật tố tụng dân sự năm 2015 và Sổ tay dành cho thẩm phán ICCA về diễn giải Công ước New York 1958” được đồng tổ chức bởi World Bank Group và Tòa án Nhân dân Tối cao Việt Nam;</w:t>
            </w:r>
          </w:p>
          <w:p w14:paraId="27DD5DF9" w14:textId="513C5E4A"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“Trọng tài Quốc tế: Thương mại và Đầu tư” được đồng tổ chức bởi VIAC và KCAB;</w:t>
            </w:r>
          </w:p>
          <w:p w14:paraId="09191DE9" w14:textId="360D8E31"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“Hội thảo Tranh chấp tín dụng tại Trọng tài và Tòa án” được đồng tổ chức bởi VIAC – VNBA – VCCI</w:t>
            </w:r>
          </w:p>
          <w:p w14:paraId="5E7FA71B" w14:textId="4A711E87" w:rsidR="00835A9C" w:rsidRPr="00835A9C" w:rsidRDefault="00835A9C" w:rsidP="00835A9C">
            <w:pPr>
              <w:pStyle w:val="ListParagraph"/>
              <w:numPr>
                <w:ilvl w:val="0"/>
                <w:numId w:val="9"/>
              </w:numPr>
              <w:rPr>
                <w:rFonts w:ascii="Arial" w:hAnsi="Arial" w:cs="Arial"/>
                <w:bCs/>
                <w:lang w:val="nl-NL"/>
              </w:rPr>
            </w:pPr>
            <w:r w:rsidRPr="00835A9C">
              <w:rPr>
                <w:rFonts w:ascii="Arial" w:hAnsi="Arial" w:cs="Arial"/>
                <w:bCs/>
                <w:lang w:val="nl-NL"/>
              </w:rPr>
              <w:t>“Hội nghị tập huấn, bồi dưỡng kỹ năng quản trị tổ chức hành nghề luật sư” được đồng tổ chức bởi Sở Tư pháp Hồ Chí Minh phối hợp với Đoàn Luật sư TP. Hồ Chí Minh</w:t>
            </w:r>
          </w:p>
          <w:p w14:paraId="755C20BA" w14:textId="2F2E662F" w:rsidR="00835A9C" w:rsidRPr="00835A9C" w:rsidRDefault="00835A9C" w:rsidP="00835A9C">
            <w:pPr>
              <w:pStyle w:val="ListParagraph"/>
              <w:numPr>
                <w:ilvl w:val="0"/>
                <w:numId w:val="9"/>
              </w:numPr>
              <w:rPr>
                <w:rFonts w:ascii="Arial" w:hAnsi="Arial" w:cs="Arial"/>
                <w:b/>
                <w:sz w:val="24"/>
                <w:lang w:val="nl-NL"/>
              </w:rPr>
            </w:pPr>
            <w:r w:rsidRPr="00835A9C">
              <w:rPr>
                <w:rFonts w:ascii="Arial" w:hAnsi="Arial" w:cs="Arial"/>
                <w:bCs/>
                <w:lang w:val="nl-NL"/>
              </w:rPr>
              <w:lastRenderedPageBreak/>
              <w:t>“Hội thảo Phòng tránh rủi ro và giải quyết tranh chấp trong hợp đồng mua bán hàng hóa quốc tế” được tổ chức bởi VIAC và ITPC.</w:t>
            </w:r>
          </w:p>
        </w:tc>
      </w:tr>
    </w:tbl>
    <w:p w14:paraId="32E085BC" w14:textId="795D335F" w:rsidR="008D6A62" w:rsidRPr="00A676BD" w:rsidRDefault="008D6A62" w:rsidP="00090238">
      <w:pPr>
        <w:ind w:left="-1170"/>
        <w:rPr>
          <w:rFonts w:ascii="Arial" w:hAnsi="Arial" w:cs="Arial"/>
          <w:szCs w:val="24"/>
        </w:rPr>
      </w:pPr>
    </w:p>
    <w:sectPr w:rsidR="008D6A62" w:rsidRPr="00A676BD" w:rsidSect="001006E6">
      <w:headerReference w:type="default" r:id="rId13"/>
      <w:footerReference w:type="default" r:id="rId14"/>
      <w:pgSz w:w="11907" w:h="16839" w:code="9"/>
      <w:pgMar w:top="720" w:right="1134" w:bottom="720" w:left="1985" w:header="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5E41" w14:textId="77777777" w:rsidR="00855EF6" w:rsidRDefault="00855EF6" w:rsidP="008D6A62">
      <w:pPr>
        <w:spacing w:before="0" w:after="0" w:line="240" w:lineRule="auto"/>
      </w:pPr>
      <w:r>
        <w:separator/>
      </w:r>
    </w:p>
  </w:endnote>
  <w:endnote w:type="continuationSeparator" w:id="0">
    <w:p w14:paraId="186818E1" w14:textId="77777777" w:rsidR="00855EF6" w:rsidRDefault="00855EF6" w:rsidP="008D6A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M Bebas">
    <w:panose1 w:val="02040603050506020204"/>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82097"/>
      <w:docPartObj>
        <w:docPartGallery w:val="Page Numbers (Bottom of Page)"/>
        <w:docPartUnique/>
      </w:docPartObj>
    </w:sdtPr>
    <w:sdtEndPr>
      <w:rPr>
        <w:rFonts w:ascii="Arial" w:hAnsi="Arial" w:cs="Arial"/>
        <w:noProof/>
        <w:sz w:val="22"/>
      </w:rPr>
    </w:sdtEndPr>
    <w:sdtContent>
      <w:p w14:paraId="3E9F9071" w14:textId="77777777" w:rsidR="001006E6" w:rsidRPr="001006E6" w:rsidRDefault="001006E6" w:rsidP="001006E6">
        <w:pPr>
          <w:pStyle w:val="Footer"/>
          <w:ind w:left="-990"/>
          <w:jc w:val="center"/>
          <w:rPr>
            <w:rFonts w:ascii="Arial" w:hAnsi="Arial" w:cs="Arial"/>
            <w:sz w:val="22"/>
          </w:rPr>
        </w:pPr>
        <w:r w:rsidRPr="001006E6">
          <w:rPr>
            <w:rFonts w:ascii="Arial" w:hAnsi="Arial" w:cs="Arial"/>
            <w:sz w:val="22"/>
          </w:rPr>
          <w:fldChar w:fldCharType="begin"/>
        </w:r>
        <w:r w:rsidRPr="001006E6">
          <w:rPr>
            <w:rFonts w:ascii="Arial" w:hAnsi="Arial" w:cs="Arial"/>
            <w:sz w:val="22"/>
          </w:rPr>
          <w:instrText xml:space="preserve"> PAGE   \* MERGEFORMAT </w:instrText>
        </w:r>
        <w:r w:rsidRPr="001006E6">
          <w:rPr>
            <w:rFonts w:ascii="Arial" w:hAnsi="Arial" w:cs="Arial"/>
            <w:sz w:val="22"/>
          </w:rPr>
          <w:fldChar w:fldCharType="separate"/>
        </w:r>
        <w:r w:rsidR="00197FC2">
          <w:rPr>
            <w:rFonts w:ascii="Arial" w:hAnsi="Arial" w:cs="Arial"/>
            <w:noProof/>
            <w:sz w:val="22"/>
          </w:rPr>
          <w:t>1</w:t>
        </w:r>
        <w:r w:rsidRPr="001006E6">
          <w:rPr>
            <w:rFonts w:ascii="Arial" w:hAnsi="Arial" w:cs="Arial"/>
            <w:noProof/>
            <w:sz w:val="22"/>
          </w:rPr>
          <w:fldChar w:fldCharType="end"/>
        </w:r>
      </w:p>
    </w:sdtContent>
  </w:sdt>
  <w:p w14:paraId="0A750C9B" w14:textId="77777777" w:rsidR="001006E6" w:rsidRDefault="0010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B31A" w14:textId="77777777" w:rsidR="00855EF6" w:rsidRDefault="00855EF6" w:rsidP="008D6A62">
      <w:pPr>
        <w:spacing w:before="0" w:after="0" w:line="240" w:lineRule="auto"/>
      </w:pPr>
      <w:r>
        <w:separator/>
      </w:r>
    </w:p>
  </w:footnote>
  <w:footnote w:type="continuationSeparator" w:id="0">
    <w:p w14:paraId="0BF42037" w14:textId="77777777" w:rsidR="00855EF6" w:rsidRDefault="00855EF6" w:rsidP="008D6A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D4EA" w14:textId="77777777" w:rsidR="008D6A62" w:rsidRDefault="008D6A62" w:rsidP="008D6A62">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198"/>
    <w:multiLevelType w:val="hybridMultilevel"/>
    <w:tmpl w:val="06FC5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C6495"/>
    <w:multiLevelType w:val="hybridMultilevel"/>
    <w:tmpl w:val="77685424"/>
    <w:lvl w:ilvl="0" w:tplc="F702B8BC">
      <w:start w:val="42"/>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171F"/>
    <w:multiLevelType w:val="hybridMultilevel"/>
    <w:tmpl w:val="9706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E1720"/>
    <w:multiLevelType w:val="hybridMultilevel"/>
    <w:tmpl w:val="6CAC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6758A"/>
    <w:multiLevelType w:val="hybridMultilevel"/>
    <w:tmpl w:val="1BD4115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5C2005D4"/>
    <w:multiLevelType w:val="hybridMultilevel"/>
    <w:tmpl w:val="E188990E"/>
    <w:lvl w:ilvl="0" w:tplc="56267228">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0312F"/>
    <w:multiLevelType w:val="hybridMultilevel"/>
    <w:tmpl w:val="2FC4CCBA"/>
    <w:lvl w:ilvl="0" w:tplc="6C08D6F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86990"/>
    <w:multiLevelType w:val="hybridMultilevel"/>
    <w:tmpl w:val="5B4A7D86"/>
    <w:lvl w:ilvl="0" w:tplc="A8E881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166FD"/>
    <w:multiLevelType w:val="hybridMultilevel"/>
    <w:tmpl w:val="A1966EFA"/>
    <w:lvl w:ilvl="0" w:tplc="04090005">
      <w:start w:val="1"/>
      <w:numFmt w:val="bullet"/>
      <w:lvlText w:val=""/>
      <w:lvlJc w:val="left"/>
      <w:pPr>
        <w:ind w:left="387" w:hanging="360"/>
      </w:pPr>
      <w:rPr>
        <w:rFonts w:ascii="Wingdings" w:hAnsi="Wingdings" w:hint="default"/>
      </w:rPr>
    </w:lvl>
    <w:lvl w:ilvl="1" w:tplc="04090003" w:tentative="1">
      <w:start w:val="1"/>
      <w:numFmt w:val="bullet"/>
      <w:lvlText w:val="o"/>
      <w:lvlJc w:val="left"/>
      <w:pPr>
        <w:ind w:left="837" w:hanging="360"/>
      </w:pPr>
      <w:rPr>
        <w:rFonts w:ascii="Courier New" w:hAnsi="Courier New" w:cs="Courier New" w:hint="default"/>
      </w:rPr>
    </w:lvl>
    <w:lvl w:ilvl="2" w:tplc="04090005" w:tentative="1">
      <w:start w:val="1"/>
      <w:numFmt w:val="bullet"/>
      <w:lvlText w:val=""/>
      <w:lvlJc w:val="left"/>
      <w:pPr>
        <w:ind w:left="1557" w:hanging="360"/>
      </w:pPr>
      <w:rPr>
        <w:rFonts w:ascii="Wingdings" w:hAnsi="Wingdings" w:hint="default"/>
      </w:rPr>
    </w:lvl>
    <w:lvl w:ilvl="3" w:tplc="04090001" w:tentative="1">
      <w:start w:val="1"/>
      <w:numFmt w:val="bullet"/>
      <w:lvlText w:val=""/>
      <w:lvlJc w:val="left"/>
      <w:pPr>
        <w:ind w:left="2277" w:hanging="360"/>
      </w:pPr>
      <w:rPr>
        <w:rFonts w:ascii="Symbol" w:hAnsi="Symbol" w:hint="default"/>
      </w:rPr>
    </w:lvl>
    <w:lvl w:ilvl="4" w:tplc="04090003" w:tentative="1">
      <w:start w:val="1"/>
      <w:numFmt w:val="bullet"/>
      <w:lvlText w:val="o"/>
      <w:lvlJc w:val="left"/>
      <w:pPr>
        <w:ind w:left="2997" w:hanging="360"/>
      </w:pPr>
      <w:rPr>
        <w:rFonts w:ascii="Courier New" w:hAnsi="Courier New" w:cs="Courier New" w:hint="default"/>
      </w:rPr>
    </w:lvl>
    <w:lvl w:ilvl="5" w:tplc="04090005" w:tentative="1">
      <w:start w:val="1"/>
      <w:numFmt w:val="bullet"/>
      <w:lvlText w:val=""/>
      <w:lvlJc w:val="left"/>
      <w:pPr>
        <w:ind w:left="3717" w:hanging="360"/>
      </w:pPr>
      <w:rPr>
        <w:rFonts w:ascii="Wingdings" w:hAnsi="Wingdings" w:hint="default"/>
      </w:rPr>
    </w:lvl>
    <w:lvl w:ilvl="6" w:tplc="04090001" w:tentative="1">
      <w:start w:val="1"/>
      <w:numFmt w:val="bullet"/>
      <w:lvlText w:val=""/>
      <w:lvlJc w:val="left"/>
      <w:pPr>
        <w:ind w:left="4437" w:hanging="360"/>
      </w:pPr>
      <w:rPr>
        <w:rFonts w:ascii="Symbol" w:hAnsi="Symbol" w:hint="default"/>
      </w:rPr>
    </w:lvl>
    <w:lvl w:ilvl="7" w:tplc="04090003" w:tentative="1">
      <w:start w:val="1"/>
      <w:numFmt w:val="bullet"/>
      <w:lvlText w:val="o"/>
      <w:lvlJc w:val="left"/>
      <w:pPr>
        <w:ind w:left="5157" w:hanging="360"/>
      </w:pPr>
      <w:rPr>
        <w:rFonts w:ascii="Courier New" w:hAnsi="Courier New" w:cs="Courier New" w:hint="default"/>
      </w:rPr>
    </w:lvl>
    <w:lvl w:ilvl="8" w:tplc="04090005" w:tentative="1">
      <w:start w:val="1"/>
      <w:numFmt w:val="bullet"/>
      <w:lvlText w:val=""/>
      <w:lvlJc w:val="left"/>
      <w:pPr>
        <w:ind w:left="5877"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E9"/>
    <w:rsid w:val="0000115A"/>
    <w:rsid w:val="00004C1B"/>
    <w:rsid w:val="0000599A"/>
    <w:rsid w:val="0001131E"/>
    <w:rsid w:val="00014669"/>
    <w:rsid w:val="000202CF"/>
    <w:rsid w:val="00021A24"/>
    <w:rsid w:val="000269DB"/>
    <w:rsid w:val="00030BEA"/>
    <w:rsid w:val="00035386"/>
    <w:rsid w:val="0003742A"/>
    <w:rsid w:val="00037913"/>
    <w:rsid w:val="0004346A"/>
    <w:rsid w:val="0004353D"/>
    <w:rsid w:val="00050E6C"/>
    <w:rsid w:val="00056171"/>
    <w:rsid w:val="00056BC2"/>
    <w:rsid w:val="0005762D"/>
    <w:rsid w:val="0006723D"/>
    <w:rsid w:val="000732DF"/>
    <w:rsid w:val="00090238"/>
    <w:rsid w:val="0009114F"/>
    <w:rsid w:val="00096897"/>
    <w:rsid w:val="00096DEC"/>
    <w:rsid w:val="000A3F7A"/>
    <w:rsid w:val="000A62AE"/>
    <w:rsid w:val="000B05F1"/>
    <w:rsid w:val="000B1B24"/>
    <w:rsid w:val="000B4FB2"/>
    <w:rsid w:val="000B5935"/>
    <w:rsid w:val="000B62AD"/>
    <w:rsid w:val="000B6899"/>
    <w:rsid w:val="000C0E9B"/>
    <w:rsid w:val="000C1FDA"/>
    <w:rsid w:val="000C2DE6"/>
    <w:rsid w:val="000C63A2"/>
    <w:rsid w:val="000D6ADD"/>
    <w:rsid w:val="000D762A"/>
    <w:rsid w:val="000E677E"/>
    <w:rsid w:val="000F135E"/>
    <w:rsid w:val="000F176F"/>
    <w:rsid w:val="000F2911"/>
    <w:rsid w:val="000F5039"/>
    <w:rsid w:val="001006E6"/>
    <w:rsid w:val="001177E3"/>
    <w:rsid w:val="00126118"/>
    <w:rsid w:val="00127226"/>
    <w:rsid w:val="00147A0A"/>
    <w:rsid w:val="001507E7"/>
    <w:rsid w:val="001511EA"/>
    <w:rsid w:val="00151B79"/>
    <w:rsid w:val="001566E8"/>
    <w:rsid w:val="00160C38"/>
    <w:rsid w:val="00161C59"/>
    <w:rsid w:val="0017013D"/>
    <w:rsid w:val="001710A0"/>
    <w:rsid w:val="00174667"/>
    <w:rsid w:val="00184AE0"/>
    <w:rsid w:val="00184FC1"/>
    <w:rsid w:val="00187F35"/>
    <w:rsid w:val="0019388E"/>
    <w:rsid w:val="0019559C"/>
    <w:rsid w:val="00197FC2"/>
    <w:rsid w:val="001A688F"/>
    <w:rsid w:val="001B0EFA"/>
    <w:rsid w:val="001B4193"/>
    <w:rsid w:val="001B73C5"/>
    <w:rsid w:val="001C2DEE"/>
    <w:rsid w:val="001D06F9"/>
    <w:rsid w:val="001D2651"/>
    <w:rsid w:val="001D4043"/>
    <w:rsid w:val="001D439C"/>
    <w:rsid w:val="001D4DDF"/>
    <w:rsid w:val="001E32DB"/>
    <w:rsid w:val="001E588E"/>
    <w:rsid w:val="001F04AA"/>
    <w:rsid w:val="001F0C99"/>
    <w:rsid w:val="00206094"/>
    <w:rsid w:val="00213F68"/>
    <w:rsid w:val="00220A6A"/>
    <w:rsid w:val="00223B38"/>
    <w:rsid w:val="00227E36"/>
    <w:rsid w:val="00230F48"/>
    <w:rsid w:val="002510AB"/>
    <w:rsid w:val="00256E87"/>
    <w:rsid w:val="002862CC"/>
    <w:rsid w:val="00286D65"/>
    <w:rsid w:val="0029323A"/>
    <w:rsid w:val="002944D2"/>
    <w:rsid w:val="0029455E"/>
    <w:rsid w:val="00297FEC"/>
    <w:rsid w:val="002A0B89"/>
    <w:rsid w:val="002A16A7"/>
    <w:rsid w:val="002A7BB9"/>
    <w:rsid w:val="002B2CF1"/>
    <w:rsid w:val="002B4E74"/>
    <w:rsid w:val="002C37CD"/>
    <w:rsid w:val="002E14FF"/>
    <w:rsid w:val="002E72F9"/>
    <w:rsid w:val="002F0965"/>
    <w:rsid w:val="002F2E7F"/>
    <w:rsid w:val="002F4AEE"/>
    <w:rsid w:val="002F78A4"/>
    <w:rsid w:val="0030301B"/>
    <w:rsid w:val="003067FD"/>
    <w:rsid w:val="00306E40"/>
    <w:rsid w:val="0031065C"/>
    <w:rsid w:val="00312A36"/>
    <w:rsid w:val="00324D25"/>
    <w:rsid w:val="00327323"/>
    <w:rsid w:val="00332918"/>
    <w:rsid w:val="00352D4B"/>
    <w:rsid w:val="00353943"/>
    <w:rsid w:val="00356A01"/>
    <w:rsid w:val="00356C2F"/>
    <w:rsid w:val="00362F12"/>
    <w:rsid w:val="00367418"/>
    <w:rsid w:val="00371182"/>
    <w:rsid w:val="0037141D"/>
    <w:rsid w:val="003839F5"/>
    <w:rsid w:val="0038560E"/>
    <w:rsid w:val="00385824"/>
    <w:rsid w:val="003872CD"/>
    <w:rsid w:val="003919BD"/>
    <w:rsid w:val="003954C5"/>
    <w:rsid w:val="003A6516"/>
    <w:rsid w:val="003A7143"/>
    <w:rsid w:val="003B1545"/>
    <w:rsid w:val="003B6471"/>
    <w:rsid w:val="003C52F5"/>
    <w:rsid w:val="003C6368"/>
    <w:rsid w:val="003D40B0"/>
    <w:rsid w:val="003D66CC"/>
    <w:rsid w:val="003D74E7"/>
    <w:rsid w:val="003F2F11"/>
    <w:rsid w:val="00400D06"/>
    <w:rsid w:val="00403DEB"/>
    <w:rsid w:val="00405796"/>
    <w:rsid w:val="00410C64"/>
    <w:rsid w:val="00412D99"/>
    <w:rsid w:val="0041543F"/>
    <w:rsid w:val="00416341"/>
    <w:rsid w:val="00416D02"/>
    <w:rsid w:val="00424A75"/>
    <w:rsid w:val="0042663F"/>
    <w:rsid w:val="00430325"/>
    <w:rsid w:val="004429F1"/>
    <w:rsid w:val="00442A1C"/>
    <w:rsid w:val="00442AC4"/>
    <w:rsid w:val="0044337E"/>
    <w:rsid w:val="0045040A"/>
    <w:rsid w:val="004559C6"/>
    <w:rsid w:val="004729D6"/>
    <w:rsid w:val="004802FB"/>
    <w:rsid w:val="00481198"/>
    <w:rsid w:val="00485B59"/>
    <w:rsid w:val="00485D0A"/>
    <w:rsid w:val="00487A05"/>
    <w:rsid w:val="00487DAA"/>
    <w:rsid w:val="00497352"/>
    <w:rsid w:val="004A510B"/>
    <w:rsid w:val="004A68FC"/>
    <w:rsid w:val="004A7585"/>
    <w:rsid w:val="004B7505"/>
    <w:rsid w:val="004B7934"/>
    <w:rsid w:val="004C3989"/>
    <w:rsid w:val="004C71D1"/>
    <w:rsid w:val="004D2F73"/>
    <w:rsid w:val="004E6BF1"/>
    <w:rsid w:val="004E6F38"/>
    <w:rsid w:val="004F28D6"/>
    <w:rsid w:val="004F61B9"/>
    <w:rsid w:val="00500804"/>
    <w:rsid w:val="0050356F"/>
    <w:rsid w:val="005046C3"/>
    <w:rsid w:val="0050731A"/>
    <w:rsid w:val="0051350D"/>
    <w:rsid w:val="005172F3"/>
    <w:rsid w:val="005344E9"/>
    <w:rsid w:val="0053515A"/>
    <w:rsid w:val="00541B85"/>
    <w:rsid w:val="0055517A"/>
    <w:rsid w:val="00555192"/>
    <w:rsid w:val="00555536"/>
    <w:rsid w:val="0056064D"/>
    <w:rsid w:val="005649FD"/>
    <w:rsid w:val="00564EB9"/>
    <w:rsid w:val="00567D10"/>
    <w:rsid w:val="005911EC"/>
    <w:rsid w:val="00595D1D"/>
    <w:rsid w:val="005A5E31"/>
    <w:rsid w:val="005A630E"/>
    <w:rsid w:val="005B4CC9"/>
    <w:rsid w:val="005C3899"/>
    <w:rsid w:val="005C4669"/>
    <w:rsid w:val="005C7C40"/>
    <w:rsid w:val="005D0A8B"/>
    <w:rsid w:val="005D2600"/>
    <w:rsid w:val="005E2EF7"/>
    <w:rsid w:val="005F18A1"/>
    <w:rsid w:val="006053D5"/>
    <w:rsid w:val="00605ED7"/>
    <w:rsid w:val="006115BA"/>
    <w:rsid w:val="0061228A"/>
    <w:rsid w:val="00614776"/>
    <w:rsid w:val="00614890"/>
    <w:rsid w:val="0061715F"/>
    <w:rsid w:val="006231B6"/>
    <w:rsid w:val="00623450"/>
    <w:rsid w:val="006317C7"/>
    <w:rsid w:val="00641481"/>
    <w:rsid w:val="00644506"/>
    <w:rsid w:val="0064524A"/>
    <w:rsid w:val="00645B08"/>
    <w:rsid w:val="0065736F"/>
    <w:rsid w:val="00660BE2"/>
    <w:rsid w:val="00664D15"/>
    <w:rsid w:val="0067215C"/>
    <w:rsid w:val="00687BDD"/>
    <w:rsid w:val="006970AB"/>
    <w:rsid w:val="006A1EBD"/>
    <w:rsid w:val="006A2694"/>
    <w:rsid w:val="006A3606"/>
    <w:rsid w:val="006A3BBD"/>
    <w:rsid w:val="006B1678"/>
    <w:rsid w:val="006B2A40"/>
    <w:rsid w:val="006B742F"/>
    <w:rsid w:val="006D0AEC"/>
    <w:rsid w:val="006D324E"/>
    <w:rsid w:val="006D4F7C"/>
    <w:rsid w:val="006D7598"/>
    <w:rsid w:val="006F1260"/>
    <w:rsid w:val="006F1F92"/>
    <w:rsid w:val="006F2DA5"/>
    <w:rsid w:val="006F4B1C"/>
    <w:rsid w:val="006F7CF8"/>
    <w:rsid w:val="00700A3A"/>
    <w:rsid w:val="00702D0E"/>
    <w:rsid w:val="00703C6B"/>
    <w:rsid w:val="00716B04"/>
    <w:rsid w:val="00726003"/>
    <w:rsid w:val="00751298"/>
    <w:rsid w:val="00751333"/>
    <w:rsid w:val="0075465E"/>
    <w:rsid w:val="00757BA2"/>
    <w:rsid w:val="007651AC"/>
    <w:rsid w:val="00776D0F"/>
    <w:rsid w:val="00781F71"/>
    <w:rsid w:val="007842C5"/>
    <w:rsid w:val="007A43F6"/>
    <w:rsid w:val="007A74E9"/>
    <w:rsid w:val="007B08BE"/>
    <w:rsid w:val="007B36D2"/>
    <w:rsid w:val="007B4EB9"/>
    <w:rsid w:val="007C13E0"/>
    <w:rsid w:val="007D31C7"/>
    <w:rsid w:val="007D5970"/>
    <w:rsid w:val="007E1B65"/>
    <w:rsid w:val="007E4BB5"/>
    <w:rsid w:val="007E511D"/>
    <w:rsid w:val="007E576E"/>
    <w:rsid w:val="007E60DB"/>
    <w:rsid w:val="007F04B0"/>
    <w:rsid w:val="007F26FF"/>
    <w:rsid w:val="0080451D"/>
    <w:rsid w:val="008115B7"/>
    <w:rsid w:val="00811837"/>
    <w:rsid w:val="00811CAE"/>
    <w:rsid w:val="008125C5"/>
    <w:rsid w:val="00817A60"/>
    <w:rsid w:val="00817CFB"/>
    <w:rsid w:val="00821D63"/>
    <w:rsid w:val="00835A9C"/>
    <w:rsid w:val="00845D0B"/>
    <w:rsid w:val="00850DB0"/>
    <w:rsid w:val="00855EF6"/>
    <w:rsid w:val="00870309"/>
    <w:rsid w:val="00876F27"/>
    <w:rsid w:val="00877AB2"/>
    <w:rsid w:val="00877DE8"/>
    <w:rsid w:val="008805E3"/>
    <w:rsid w:val="008848AE"/>
    <w:rsid w:val="008853E3"/>
    <w:rsid w:val="008900E5"/>
    <w:rsid w:val="00895444"/>
    <w:rsid w:val="008977CA"/>
    <w:rsid w:val="008A00D3"/>
    <w:rsid w:val="008B1FE1"/>
    <w:rsid w:val="008B2015"/>
    <w:rsid w:val="008C3CBC"/>
    <w:rsid w:val="008C7DDB"/>
    <w:rsid w:val="008D45D9"/>
    <w:rsid w:val="008D6A62"/>
    <w:rsid w:val="008E292F"/>
    <w:rsid w:val="008E5706"/>
    <w:rsid w:val="008F0C25"/>
    <w:rsid w:val="008F35C5"/>
    <w:rsid w:val="008F50C2"/>
    <w:rsid w:val="00907F32"/>
    <w:rsid w:val="0091276A"/>
    <w:rsid w:val="009145D2"/>
    <w:rsid w:val="00917DB6"/>
    <w:rsid w:val="00920F6F"/>
    <w:rsid w:val="0092326A"/>
    <w:rsid w:val="009278BC"/>
    <w:rsid w:val="00931732"/>
    <w:rsid w:val="00931CB6"/>
    <w:rsid w:val="00932C98"/>
    <w:rsid w:val="009403D3"/>
    <w:rsid w:val="009431CD"/>
    <w:rsid w:val="009456FD"/>
    <w:rsid w:val="0094591F"/>
    <w:rsid w:val="0095145A"/>
    <w:rsid w:val="009606D9"/>
    <w:rsid w:val="009617BD"/>
    <w:rsid w:val="00964E8D"/>
    <w:rsid w:val="00976309"/>
    <w:rsid w:val="00981BE9"/>
    <w:rsid w:val="00984B0C"/>
    <w:rsid w:val="009900F6"/>
    <w:rsid w:val="00990727"/>
    <w:rsid w:val="009A140E"/>
    <w:rsid w:val="009A1F87"/>
    <w:rsid w:val="009A4C7F"/>
    <w:rsid w:val="009A7418"/>
    <w:rsid w:val="009B122B"/>
    <w:rsid w:val="009B124D"/>
    <w:rsid w:val="009D3B96"/>
    <w:rsid w:val="009D3DAC"/>
    <w:rsid w:val="009D59E9"/>
    <w:rsid w:val="009E1355"/>
    <w:rsid w:val="009E5605"/>
    <w:rsid w:val="009F12EC"/>
    <w:rsid w:val="009F362B"/>
    <w:rsid w:val="009F4E7F"/>
    <w:rsid w:val="009F76F6"/>
    <w:rsid w:val="00A00CBB"/>
    <w:rsid w:val="00A05C9A"/>
    <w:rsid w:val="00A11A2A"/>
    <w:rsid w:val="00A134EF"/>
    <w:rsid w:val="00A17E37"/>
    <w:rsid w:val="00A252E8"/>
    <w:rsid w:val="00A43B30"/>
    <w:rsid w:val="00A479B9"/>
    <w:rsid w:val="00A52979"/>
    <w:rsid w:val="00A529B8"/>
    <w:rsid w:val="00A54859"/>
    <w:rsid w:val="00A55AB1"/>
    <w:rsid w:val="00A6332A"/>
    <w:rsid w:val="00A676BD"/>
    <w:rsid w:val="00A6798C"/>
    <w:rsid w:val="00A708EC"/>
    <w:rsid w:val="00A71885"/>
    <w:rsid w:val="00A7451C"/>
    <w:rsid w:val="00A92FF9"/>
    <w:rsid w:val="00A930E6"/>
    <w:rsid w:val="00AA1B0A"/>
    <w:rsid w:val="00AA476E"/>
    <w:rsid w:val="00AB1B8F"/>
    <w:rsid w:val="00AB2DE6"/>
    <w:rsid w:val="00AB6D46"/>
    <w:rsid w:val="00AC2EAF"/>
    <w:rsid w:val="00AC3505"/>
    <w:rsid w:val="00AC4159"/>
    <w:rsid w:val="00AC426F"/>
    <w:rsid w:val="00AD6DDD"/>
    <w:rsid w:val="00AD7EFF"/>
    <w:rsid w:val="00AD7FB2"/>
    <w:rsid w:val="00AE0CD5"/>
    <w:rsid w:val="00AE10B7"/>
    <w:rsid w:val="00AE3442"/>
    <w:rsid w:val="00AE42E7"/>
    <w:rsid w:val="00AE5D5D"/>
    <w:rsid w:val="00AE6943"/>
    <w:rsid w:val="00AF0F0A"/>
    <w:rsid w:val="00AF1B02"/>
    <w:rsid w:val="00AF661E"/>
    <w:rsid w:val="00B00787"/>
    <w:rsid w:val="00B07555"/>
    <w:rsid w:val="00B103CF"/>
    <w:rsid w:val="00B113AF"/>
    <w:rsid w:val="00B1333B"/>
    <w:rsid w:val="00B23479"/>
    <w:rsid w:val="00B23E11"/>
    <w:rsid w:val="00B25B3D"/>
    <w:rsid w:val="00B3663B"/>
    <w:rsid w:val="00B40964"/>
    <w:rsid w:val="00B45CF2"/>
    <w:rsid w:val="00B55369"/>
    <w:rsid w:val="00B6244B"/>
    <w:rsid w:val="00B62A2B"/>
    <w:rsid w:val="00B644CA"/>
    <w:rsid w:val="00B66230"/>
    <w:rsid w:val="00B66CC8"/>
    <w:rsid w:val="00B67428"/>
    <w:rsid w:val="00B67E16"/>
    <w:rsid w:val="00B8219D"/>
    <w:rsid w:val="00B82E12"/>
    <w:rsid w:val="00B87AAB"/>
    <w:rsid w:val="00B9532D"/>
    <w:rsid w:val="00BA2715"/>
    <w:rsid w:val="00BB3F1F"/>
    <w:rsid w:val="00BC0F76"/>
    <w:rsid w:val="00BC2CC2"/>
    <w:rsid w:val="00BC507E"/>
    <w:rsid w:val="00BD351B"/>
    <w:rsid w:val="00BE142F"/>
    <w:rsid w:val="00BE4C0F"/>
    <w:rsid w:val="00BE5D22"/>
    <w:rsid w:val="00BE6D16"/>
    <w:rsid w:val="00BF55C9"/>
    <w:rsid w:val="00C0506B"/>
    <w:rsid w:val="00C05ABB"/>
    <w:rsid w:val="00C10DA8"/>
    <w:rsid w:val="00C14845"/>
    <w:rsid w:val="00C316C0"/>
    <w:rsid w:val="00C41A55"/>
    <w:rsid w:val="00C41C5B"/>
    <w:rsid w:val="00C42815"/>
    <w:rsid w:val="00C44169"/>
    <w:rsid w:val="00C447E2"/>
    <w:rsid w:val="00C4507A"/>
    <w:rsid w:val="00C5003C"/>
    <w:rsid w:val="00C62357"/>
    <w:rsid w:val="00C637EE"/>
    <w:rsid w:val="00C66524"/>
    <w:rsid w:val="00C67CCD"/>
    <w:rsid w:val="00C706D5"/>
    <w:rsid w:val="00C72B56"/>
    <w:rsid w:val="00C74D78"/>
    <w:rsid w:val="00C75374"/>
    <w:rsid w:val="00C844EA"/>
    <w:rsid w:val="00C84904"/>
    <w:rsid w:val="00C8682C"/>
    <w:rsid w:val="00CA4861"/>
    <w:rsid w:val="00CA5C7D"/>
    <w:rsid w:val="00CC09B1"/>
    <w:rsid w:val="00CC3643"/>
    <w:rsid w:val="00CC5382"/>
    <w:rsid w:val="00CD53A1"/>
    <w:rsid w:val="00CE056C"/>
    <w:rsid w:val="00CF2DCE"/>
    <w:rsid w:val="00CF5F9D"/>
    <w:rsid w:val="00D03508"/>
    <w:rsid w:val="00D03E16"/>
    <w:rsid w:val="00D0447E"/>
    <w:rsid w:val="00D067FB"/>
    <w:rsid w:val="00D2030A"/>
    <w:rsid w:val="00D2317A"/>
    <w:rsid w:val="00D27B54"/>
    <w:rsid w:val="00D42524"/>
    <w:rsid w:val="00D4565C"/>
    <w:rsid w:val="00D45D55"/>
    <w:rsid w:val="00D524D5"/>
    <w:rsid w:val="00D528C5"/>
    <w:rsid w:val="00D574DD"/>
    <w:rsid w:val="00D57791"/>
    <w:rsid w:val="00D61B15"/>
    <w:rsid w:val="00D62AAE"/>
    <w:rsid w:val="00D62ECA"/>
    <w:rsid w:val="00D65DCE"/>
    <w:rsid w:val="00D73A6F"/>
    <w:rsid w:val="00D82864"/>
    <w:rsid w:val="00D90DD8"/>
    <w:rsid w:val="00D95D09"/>
    <w:rsid w:val="00D96E23"/>
    <w:rsid w:val="00D970E7"/>
    <w:rsid w:val="00DA1C30"/>
    <w:rsid w:val="00DA69E6"/>
    <w:rsid w:val="00DB2FF5"/>
    <w:rsid w:val="00DB3892"/>
    <w:rsid w:val="00DB539F"/>
    <w:rsid w:val="00DC2BAF"/>
    <w:rsid w:val="00DC5946"/>
    <w:rsid w:val="00DD01F1"/>
    <w:rsid w:val="00DD2D46"/>
    <w:rsid w:val="00DD36CC"/>
    <w:rsid w:val="00DE03A6"/>
    <w:rsid w:val="00DE1229"/>
    <w:rsid w:val="00DE2B26"/>
    <w:rsid w:val="00DE304C"/>
    <w:rsid w:val="00DE63DD"/>
    <w:rsid w:val="00DF05EC"/>
    <w:rsid w:val="00DF12E1"/>
    <w:rsid w:val="00E01C16"/>
    <w:rsid w:val="00E01C68"/>
    <w:rsid w:val="00E06AC3"/>
    <w:rsid w:val="00E072ED"/>
    <w:rsid w:val="00E1209C"/>
    <w:rsid w:val="00E14F4D"/>
    <w:rsid w:val="00E1782E"/>
    <w:rsid w:val="00E21641"/>
    <w:rsid w:val="00E255CB"/>
    <w:rsid w:val="00E26674"/>
    <w:rsid w:val="00E33E4D"/>
    <w:rsid w:val="00E34098"/>
    <w:rsid w:val="00E345BC"/>
    <w:rsid w:val="00E45789"/>
    <w:rsid w:val="00E54E8D"/>
    <w:rsid w:val="00E8666D"/>
    <w:rsid w:val="00E86B73"/>
    <w:rsid w:val="00E91BA0"/>
    <w:rsid w:val="00E9264E"/>
    <w:rsid w:val="00E95461"/>
    <w:rsid w:val="00E96154"/>
    <w:rsid w:val="00EA013D"/>
    <w:rsid w:val="00EA198F"/>
    <w:rsid w:val="00EA315E"/>
    <w:rsid w:val="00EA5A9F"/>
    <w:rsid w:val="00EA5F1F"/>
    <w:rsid w:val="00EA6973"/>
    <w:rsid w:val="00EA770C"/>
    <w:rsid w:val="00EB3284"/>
    <w:rsid w:val="00EB3511"/>
    <w:rsid w:val="00EB515A"/>
    <w:rsid w:val="00EC54A0"/>
    <w:rsid w:val="00EC7DB9"/>
    <w:rsid w:val="00ED61F7"/>
    <w:rsid w:val="00EE40FD"/>
    <w:rsid w:val="00EE7F2A"/>
    <w:rsid w:val="00EF1409"/>
    <w:rsid w:val="00EF16FB"/>
    <w:rsid w:val="00EF1E34"/>
    <w:rsid w:val="00EF2D3D"/>
    <w:rsid w:val="00EF39D7"/>
    <w:rsid w:val="00F040CA"/>
    <w:rsid w:val="00F05E78"/>
    <w:rsid w:val="00F07E82"/>
    <w:rsid w:val="00F1134E"/>
    <w:rsid w:val="00F14699"/>
    <w:rsid w:val="00F168C6"/>
    <w:rsid w:val="00F16F7B"/>
    <w:rsid w:val="00F1764C"/>
    <w:rsid w:val="00F17AA3"/>
    <w:rsid w:val="00F25EE9"/>
    <w:rsid w:val="00F2779C"/>
    <w:rsid w:val="00F33375"/>
    <w:rsid w:val="00F33A8A"/>
    <w:rsid w:val="00F349E2"/>
    <w:rsid w:val="00F405FE"/>
    <w:rsid w:val="00F511B3"/>
    <w:rsid w:val="00F52229"/>
    <w:rsid w:val="00F54135"/>
    <w:rsid w:val="00F555CC"/>
    <w:rsid w:val="00F56D1F"/>
    <w:rsid w:val="00F61F9D"/>
    <w:rsid w:val="00F625E5"/>
    <w:rsid w:val="00F64F8A"/>
    <w:rsid w:val="00F661A7"/>
    <w:rsid w:val="00F91012"/>
    <w:rsid w:val="00F93FAA"/>
    <w:rsid w:val="00FA3519"/>
    <w:rsid w:val="00FA44AB"/>
    <w:rsid w:val="00FA67DB"/>
    <w:rsid w:val="00FC00C3"/>
    <w:rsid w:val="00FC1CE0"/>
    <w:rsid w:val="00FC6F14"/>
    <w:rsid w:val="00FD1774"/>
    <w:rsid w:val="00FE3F2D"/>
    <w:rsid w:val="00FE4EFE"/>
    <w:rsid w:val="00FE5620"/>
    <w:rsid w:val="00FE7DFD"/>
    <w:rsid w:val="00FF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76452"/>
  <w15:chartTrackingRefBased/>
  <w15:docId w15:val="{B462D20B-6C8A-4FA9-8DC0-09B6FACF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3B"/>
    <w:pPr>
      <w:spacing w:before="120" w:after="12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D02"/>
    <w:rPr>
      <w:color w:val="0563C1" w:themeColor="hyperlink"/>
      <w:u w:val="single"/>
    </w:rPr>
  </w:style>
  <w:style w:type="paragraph" w:styleId="Header">
    <w:name w:val="header"/>
    <w:basedOn w:val="Normal"/>
    <w:link w:val="HeaderChar"/>
    <w:uiPriority w:val="99"/>
    <w:unhideWhenUsed/>
    <w:rsid w:val="008D6A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6A62"/>
    <w:rPr>
      <w:rFonts w:ascii="Times New Roman" w:hAnsi="Times New Roman"/>
      <w:sz w:val="24"/>
    </w:rPr>
  </w:style>
  <w:style w:type="paragraph" w:styleId="Footer">
    <w:name w:val="footer"/>
    <w:basedOn w:val="Normal"/>
    <w:link w:val="FooterChar"/>
    <w:uiPriority w:val="99"/>
    <w:unhideWhenUsed/>
    <w:rsid w:val="008D6A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6A62"/>
    <w:rPr>
      <w:rFonts w:ascii="Times New Roman" w:hAnsi="Times New Roman"/>
      <w:sz w:val="24"/>
    </w:rPr>
  </w:style>
  <w:style w:type="paragraph" w:styleId="ListParagraph">
    <w:name w:val="List Paragraph"/>
    <w:basedOn w:val="Normal"/>
    <w:uiPriority w:val="34"/>
    <w:qFormat/>
    <w:rsid w:val="00D4565C"/>
    <w:pPr>
      <w:spacing w:before="0" w:after="200" w:line="276" w:lineRule="auto"/>
      <w:ind w:left="720"/>
      <w:contextualSpacing/>
      <w:jc w:val="left"/>
    </w:pPr>
    <w:rPr>
      <w:rFonts w:asciiTheme="minorHAnsi" w:hAnsiTheme="minorHAnsi"/>
      <w:sz w:val="22"/>
    </w:rPr>
  </w:style>
  <w:style w:type="paragraph" w:styleId="BalloonText">
    <w:name w:val="Balloon Text"/>
    <w:basedOn w:val="Normal"/>
    <w:link w:val="BalloonTextChar"/>
    <w:uiPriority w:val="99"/>
    <w:semiHidden/>
    <w:unhideWhenUsed/>
    <w:rsid w:val="00F040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CA"/>
    <w:rPr>
      <w:rFonts w:ascii="Segoe UI" w:hAnsi="Segoe UI" w:cs="Segoe UI"/>
      <w:sz w:val="18"/>
      <w:szCs w:val="18"/>
    </w:rPr>
  </w:style>
  <w:style w:type="table" w:customStyle="1" w:styleId="TableGrid1">
    <w:name w:val="Table Grid1"/>
    <w:basedOn w:val="TableNormal"/>
    <w:next w:val="TableGrid"/>
    <w:uiPriority w:val="59"/>
    <w:rsid w:val="0009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1FD5-B7CC-41EF-8534-2CD92EC6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viao</dc:creator>
  <cp:keywords/>
  <dc:description/>
  <cp:lastModifiedBy>Thu Huong Pham</cp:lastModifiedBy>
  <cp:revision>36</cp:revision>
  <cp:lastPrinted>2019-07-22T06:48:00Z</cp:lastPrinted>
  <dcterms:created xsi:type="dcterms:W3CDTF">2018-06-19T03:54:00Z</dcterms:created>
  <dcterms:modified xsi:type="dcterms:W3CDTF">2021-05-13T12:27:00Z</dcterms:modified>
</cp:coreProperties>
</file>